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18" w:rsidRDefault="00600DBD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81931" cy="1656000"/>
            <wp:effectExtent l="0" t="0" r="508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AS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31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bookmarkStart w:id="0" w:name="_GoBack"/>
      <w:bookmarkEnd w:id="0"/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Visando realizar seus fins, a LBASS tem por objetivos: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I - Contribuir para o progresso da pesquisa nas Ciências da Fala estimulando a natureza interdisciplinar dessa pesquisa com a língua portuguesa;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II - Promover o intercâmbio de informações entre indivíduos e/ou instituições com interesse nas Ciências da Fala;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III - Organizar e promover reuniões e eventos, periódicos ou não, nacionais ou internacionais em disciplinas relacionadas às Ciências da Fala;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IV - Promover o ensino por meio de cursos na área;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V - Publicar e divulgar artigos científicos, estimulando a pesquisa científica experimental;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VI – Promover a relação entre a pesquisa e a indústria na área;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 xml:space="preserve">VII - Conceder bolsas para participação em congressos </w:t>
      </w:r>
      <w:proofErr w:type="gramStart"/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( </w:t>
      </w:r>
      <w:hyperlink r:id="rId5" w:history="1">
        <w:r w:rsidRPr="00600DBD">
          <w:rPr>
            <w:rFonts w:ascii="Titillium Web" w:eastAsia="Times New Roman" w:hAnsi="Titillium Web" w:cs="Times New Roman"/>
            <w:color w:val="9406DC"/>
            <w:sz w:val="32"/>
            <w:szCs w:val="32"/>
            <w:u w:val="single"/>
            <w:bdr w:val="single" w:sz="2" w:space="0" w:color="18A75C" w:frame="1"/>
            <w:lang w:eastAsia="pt-BR"/>
          </w:rPr>
          <w:t>veja</w:t>
        </w:r>
        <w:proofErr w:type="gramEnd"/>
        <w:r w:rsidRPr="00600DBD">
          <w:rPr>
            <w:rFonts w:ascii="Titillium Web" w:eastAsia="Times New Roman" w:hAnsi="Titillium Web" w:cs="Times New Roman"/>
            <w:color w:val="9406DC"/>
            <w:sz w:val="32"/>
            <w:szCs w:val="32"/>
            <w:u w:val="single"/>
            <w:bdr w:val="single" w:sz="2" w:space="0" w:color="18A75C" w:frame="1"/>
            <w:lang w:eastAsia="pt-BR"/>
          </w:rPr>
          <w:t xml:space="preserve"> como</w:t>
        </w:r>
      </w:hyperlink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 );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VIII – Integrar-se efetivamente à comunidade internacional, afiliando-se às organizações da mais alta credibilidade;</w:t>
      </w:r>
    </w:p>
    <w:p w:rsidR="00600DBD" w:rsidRPr="00600DBD" w:rsidRDefault="00600DBD" w:rsidP="00600DBD">
      <w:pPr>
        <w:pBdr>
          <w:top w:val="single" w:sz="2" w:space="0" w:color="18A75C"/>
          <w:left w:val="single" w:sz="2" w:space="0" w:color="18A75C"/>
          <w:bottom w:val="single" w:sz="2" w:space="0" w:color="18A75C"/>
          <w:right w:val="single" w:sz="2" w:space="0" w:color="18A75C"/>
        </w:pBdr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000000"/>
          <w:sz w:val="32"/>
          <w:szCs w:val="32"/>
          <w:lang w:eastAsia="pt-BR"/>
        </w:rPr>
      </w:pPr>
      <w:r w:rsidRPr="00600DBD">
        <w:rPr>
          <w:rFonts w:ascii="Titillium Web" w:eastAsia="Times New Roman" w:hAnsi="Titillium Web" w:cs="Times New Roman"/>
          <w:color w:val="000000"/>
          <w:sz w:val="32"/>
          <w:szCs w:val="32"/>
          <w:bdr w:val="single" w:sz="2" w:space="0" w:color="18A75C" w:frame="1"/>
          <w:lang w:eastAsia="pt-BR"/>
        </w:rPr>
        <w:t>IX - Emprestar sua colaboração a entidades públicas ou particulares em programas de educação que envolvam as Ciências da Fala</w:t>
      </w:r>
    </w:p>
    <w:p w:rsidR="00600DBD" w:rsidRDefault="00600DBD"/>
    <w:sectPr w:rsidR="00600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BD"/>
    <w:rsid w:val="00600DBD"/>
    <w:rsid w:val="00D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2D2F-844C-402C-8871-F7FAD27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1074701224">
    <w:name w:val="u_1074701224"/>
    <w:basedOn w:val="Fontepargpadro"/>
    <w:rsid w:val="00600DBD"/>
  </w:style>
  <w:style w:type="paragraph" w:customStyle="1" w:styleId="u1781411931">
    <w:name w:val="u_1781411931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1329915969">
    <w:name w:val="u_1329915969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917745865">
    <w:name w:val="u_1917745865"/>
    <w:basedOn w:val="Fontepargpadro"/>
    <w:rsid w:val="00600DBD"/>
  </w:style>
  <w:style w:type="paragraph" w:customStyle="1" w:styleId="u1332950712">
    <w:name w:val="u_1332950712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379429207">
    <w:name w:val="u_1379429207"/>
    <w:basedOn w:val="Fontepargpadro"/>
    <w:rsid w:val="00600DBD"/>
  </w:style>
  <w:style w:type="paragraph" w:customStyle="1" w:styleId="u1479157322">
    <w:name w:val="u_1479157322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668553317">
    <w:name w:val="u_1668553317"/>
    <w:basedOn w:val="Fontepargpadro"/>
    <w:rsid w:val="00600DBD"/>
  </w:style>
  <w:style w:type="paragraph" w:customStyle="1" w:styleId="u1141751815">
    <w:name w:val="u_1141751815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260786528">
    <w:name w:val="u_1260786528"/>
    <w:basedOn w:val="Fontepargpadro"/>
    <w:rsid w:val="00600DBD"/>
  </w:style>
  <w:style w:type="paragraph" w:customStyle="1" w:styleId="u1315011550">
    <w:name w:val="u_1315011550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507344283">
    <w:name w:val="u_1507344283"/>
    <w:basedOn w:val="Fontepargpadro"/>
    <w:rsid w:val="00600DBD"/>
  </w:style>
  <w:style w:type="paragraph" w:customStyle="1" w:styleId="u1745526729">
    <w:name w:val="u_1745526729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797503783">
    <w:name w:val="u_1797503783"/>
    <w:basedOn w:val="Fontepargpadro"/>
    <w:rsid w:val="00600DBD"/>
  </w:style>
  <w:style w:type="paragraph" w:customStyle="1" w:styleId="u1825968057">
    <w:name w:val="u_1825968057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660464380">
    <w:name w:val="u_1660464380"/>
    <w:basedOn w:val="Fontepargpadro"/>
    <w:rsid w:val="00600DBD"/>
  </w:style>
  <w:style w:type="paragraph" w:customStyle="1" w:styleId="u1859310893">
    <w:name w:val="u_1859310893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066835956">
    <w:name w:val="u_1066835956"/>
    <w:basedOn w:val="Fontepargpadro"/>
    <w:rsid w:val="00600DBD"/>
  </w:style>
  <w:style w:type="character" w:styleId="Hyperlink">
    <w:name w:val="Hyperlink"/>
    <w:basedOn w:val="Fontepargpadro"/>
    <w:uiPriority w:val="99"/>
    <w:semiHidden/>
    <w:unhideWhenUsed/>
    <w:rsid w:val="00600DBD"/>
    <w:rPr>
      <w:color w:val="0000FF"/>
      <w:u w:val="single"/>
    </w:rPr>
  </w:style>
  <w:style w:type="paragraph" w:customStyle="1" w:styleId="u1158727914">
    <w:name w:val="u_1158727914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486883579">
    <w:name w:val="u_1486883579"/>
    <w:basedOn w:val="Fontepargpadro"/>
    <w:rsid w:val="00600DBD"/>
  </w:style>
  <w:style w:type="paragraph" w:customStyle="1" w:styleId="u1584976616">
    <w:name w:val="u_1584976616"/>
    <w:basedOn w:val="Normal"/>
    <w:rsid w:val="0060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1970472872">
    <w:name w:val="u_1970472872"/>
    <w:basedOn w:val="Fontepargpadro"/>
    <w:rsid w:val="0060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888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1169638907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1371882305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896161048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305866268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62265440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537667989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1171066824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148177015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1632714303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556357185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  <w:div w:id="634718452">
          <w:marLeft w:val="0"/>
          <w:marRight w:val="0"/>
          <w:marTop w:val="120"/>
          <w:marBottom w:val="120"/>
          <w:divBdr>
            <w:top w:val="single" w:sz="2" w:space="2" w:color="18A75C"/>
            <w:left w:val="single" w:sz="2" w:space="0" w:color="18A75C"/>
            <w:bottom w:val="single" w:sz="2" w:space="2" w:color="18A75C"/>
            <w:right w:val="single" w:sz="2" w:space="0" w:color="18A75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p-cdn.multiscreensite.com/5db53739/files/uploaded/Formula%CC%81riodesolicitac%CC%A7a%CC%83olbas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2020-04-09T22:26:00Z</dcterms:created>
  <dcterms:modified xsi:type="dcterms:W3CDTF">2020-04-09T22:32:00Z</dcterms:modified>
</cp:coreProperties>
</file>